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68" w:rsidRPr="003D23AC" w:rsidRDefault="00C32E68" w:rsidP="003D23AC">
      <w:pPr>
        <w:pStyle w:val="a7"/>
        <w:rPr>
          <w:bCs/>
          <w:sz w:val="22"/>
        </w:rPr>
      </w:pPr>
      <w:r w:rsidRPr="003D23AC">
        <w:rPr>
          <w:rFonts w:hint="eastAsia"/>
          <w:bCs/>
          <w:sz w:val="22"/>
        </w:rPr>
        <w:t>《窦娥冤》教案</w:t>
      </w:r>
    </w:p>
    <w:p w:rsidR="00C32E68" w:rsidRPr="003D23AC" w:rsidRDefault="00C32E68" w:rsidP="003D23AC">
      <w:pPr>
        <w:rPr>
          <w:sz w:val="22"/>
        </w:rPr>
      </w:pPr>
      <w:r w:rsidRPr="003D23AC">
        <w:rPr>
          <w:sz w:val="22"/>
        </w:rPr>
        <w:t>[阅读目的]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1、</w:t>
      </w:r>
      <w:r w:rsidRPr="003D23AC">
        <w:rPr>
          <w:sz w:val="22"/>
        </w:rPr>
        <w:tab/>
        <w:t>初步了解元杂剧的特点。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2、结合“单元知识和训练”，掌握研究性阅读的特点</w:t>
      </w:r>
      <w:r w:rsidRPr="003D23AC">
        <w:rPr>
          <w:rFonts w:hint="eastAsia"/>
          <w:sz w:val="22"/>
        </w:rPr>
        <w:t>，</w:t>
      </w:r>
      <w:r w:rsidRPr="003D23AC">
        <w:rPr>
          <w:rFonts w:hint="eastAsia"/>
          <w:color w:val="000000"/>
          <w:sz w:val="22"/>
          <w:szCs w:val="20"/>
        </w:rPr>
        <w:t>学会研究性阅读的方法。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sz w:val="22"/>
        </w:rPr>
        <w:t>[教学重点]：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1、通过窦娥冤这一历史冤案，认识元代社会黑暗和统治者的残暴，认识当时阶级</w:t>
      </w:r>
      <w:r w:rsidRPr="003D23AC">
        <w:rPr>
          <w:rFonts w:hint="eastAsia"/>
          <w:sz w:val="22"/>
        </w:rPr>
        <w:t>矛盾的尖锐。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2、</w:t>
      </w:r>
      <w:r w:rsidRPr="003D23AC">
        <w:rPr>
          <w:sz w:val="22"/>
        </w:rPr>
        <w:t>认识窦娥的刚烈性格和反抗精神。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3、</w:t>
      </w:r>
      <w:r w:rsidRPr="003D23AC">
        <w:rPr>
          <w:sz w:val="22"/>
        </w:rPr>
        <w:t>介绍元杂剧的体制。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</w:t>
      </w:r>
      <w:r w:rsidRPr="003D23AC">
        <w:rPr>
          <w:sz w:val="22"/>
        </w:rPr>
        <w:t>教学难点</w:t>
      </w:r>
      <w:r w:rsidRPr="003D23AC">
        <w:rPr>
          <w:rFonts w:hint="eastAsia"/>
          <w:sz w:val="22"/>
        </w:rPr>
        <w:t>]</w:t>
      </w:r>
      <w:r w:rsidRPr="003D23AC">
        <w:rPr>
          <w:sz w:val="22"/>
        </w:rPr>
        <w:t>：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1、</w:t>
      </w:r>
      <w:r w:rsidRPr="003D23AC">
        <w:rPr>
          <w:sz w:val="22"/>
        </w:rPr>
        <w:t>戏的开头窦娥对天地鬼神的严厉指责与结尾要感天动地之间的矛盾。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</w:t>
      </w:r>
      <w:r w:rsidRPr="003D23AC">
        <w:rPr>
          <w:rFonts w:hint="eastAsia"/>
          <w:sz w:val="22"/>
        </w:rPr>
        <w:t>、</w:t>
      </w:r>
      <w:r w:rsidRPr="003D23AC">
        <w:rPr>
          <w:sz w:val="22"/>
        </w:rPr>
        <w:t>对[端正好][滚绣球]等曲子的理解，以及对全剧情节高潮的认识。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sz w:val="22"/>
        </w:rPr>
        <w:t>[教学方法</w:t>
      </w:r>
      <w:r w:rsidRPr="003D23AC">
        <w:rPr>
          <w:rFonts w:hint="eastAsia"/>
          <w:sz w:val="22"/>
        </w:rPr>
        <w:t>]</w:t>
      </w:r>
      <w:r w:rsidRPr="003D23AC">
        <w:rPr>
          <w:sz w:val="22"/>
        </w:rPr>
        <w:t>：讲授与研究性阅读相结合。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[教学时数]：</w:t>
      </w:r>
      <w:r w:rsidRPr="003D23AC">
        <w:rPr>
          <w:sz w:val="22"/>
        </w:rPr>
        <w:t xml:space="preserve"> 2教时。</w:t>
      </w:r>
    </w:p>
    <w:p w:rsidR="00C32E68" w:rsidRPr="003D23AC" w:rsidRDefault="00C32E68" w:rsidP="003D23AC">
      <w:pPr>
        <w:jc w:val="center"/>
        <w:rPr>
          <w:sz w:val="22"/>
        </w:rPr>
      </w:pPr>
      <w:r w:rsidRPr="003D23AC">
        <w:rPr>
          <w:rFonts w:hint="eastAsia"/>
          <w:sz w:val="22"/>
        </w:rPr>
        <w:t>第一教时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[导入新课]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1．介绍关汉卿：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关汉卿，号己斋叟，金末元初大都（现北京）人。元代杂剧的代表作家，也是我国戏剧史上最早也最伟大的戏剧作家。他与郑光祖、白朴、马致远齐名，被称为“元曲四大家”。元代人说他：“生而凋搅，博学能文，滑稽多智，蕴籍风流，为一时之冠。”他曾在散曲《南吕一枝花·不伏老》中说自己精音律，会吟诗，能吹萧弹琴，歌唱舞蹈，也会下棋射猎，多才多艺。元代的阶级矛盾和民族矛盾十分尖锐，关汉卿不满社会现实，不仅写作剧本，有时还登台演唱，借杂剧来揭露黑暗现实，寄托自己的社会理想。他一生创作杂剧有</w:t>
      </w:r>
      <w:r w:rsidRPr="003D23AC">
        <w:rPr>
          <w:sz w:val="22"/>
        </w:rPr>
        <w:t>60多部，但大都散失，现仅存15部。《窦娥冤》《救风尘风望江亭》《单刀会</w:t>
      </w:r>
      <w:r w:rsidRPr="003D23AC">
        <w:rPr>
          <w:rFonts w:hint="eastAsia"/>
          <w:sz w:val="22"/>
        </w:rPr>
        <w:t>》等流传很广。其中的《窦娥冤》是我国十大古典悲剧之一。</w:t>
      </w:r>
      <w:r w:rsidRPr="003D23AC">
        <w:rPr>
          <w:sz w:val="22"/>
        </w:rPr>
        <w:t>1956年，他的名字</w:t>
      </w:r>
      <w:r w:rsidRPr="003D23AC">
        <w:rPr>
          <w:rFonts w:hint="eastAsia"/>
          <w:sz w:val="22"/>
        </w:rPr>
        <w:t>被列入世界文化名人之列。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2．介绍元杂剧：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元杂剧有一套较严格的体制：</w:t>
      </w:r>
    </w:p>
    <w:p w:rsidR="00C32E68" w:rsidRPr="003D23AC" w:rsidRDefault="00C32E68" w:rsidP="003D23AC">
      <w:pPr>
        <w:ind w:firstLineChars="100" w:firstLine="220"/>
        <w:rPr>
          <w:sz w:val="22"/>
        </w:rPr>
      </w:pPr>
      <w:r w:rsidRPr="003D23AC">
        <w:rPr>
          <w:rFonts w:hint="eastAsia"/>
          <w:sz w:val="22"/>
        </w:rPr>
        <w:t>（</w:t>
      </w:r>
      <w:r w:rsidRPr="003D23AC">
        <w:rPr>
          <w:sz w:val="22"/>
        </w:rPr>
        <w:t>1）结构：元杂剧一般是一本四折演一完整的故事，个别的有五折、六折或多本</w:t>
      </w:r>
      <w:r w:rsidRPr="003D23AC">
        <w:rPr>
          <w:rFonts w:hint="eastAsia"/>
          <w:sz w:val="22"/>
        </w:rPr>
        <w:t>连演。折是音乐组织的单元，也是故事情节发展的自然段落，它不受时间、地点的限制，每一折大都包括较多的场次，类似于现代戏剧的“幕”。有的杂剧还有“楔子”，通常在第一折之前起交代作用。相当于现代剧的序幕，用来说明情节，介绍人物。杂剧每折限用同一宫调的曲牌组成的一套曲子。演出时一本四折都由正末或正旦独唱。（其他角色只有说白），分别称为“末本”或“旦本”。</w:t>
      </w:r>
    </w:p>
    <w:p w:rsidR="00C32E68" w:rsidRPr="003D23AC" w:rsidRDefault="00C32E68" w:rsidP="003D23AC">
      <w:pPr>
        <w:ind w:firstLineChars="100" w:firstLine="220"/>
        <w:rPr>
          <w:sz w:val="22"/>
        </w:rPr>
      </w:pPr>
      <w:r w:rsidRPr="003D23AC">
        <w:rPr>
          <w:rFonts w:hint="eastAsia"/>
          <w:sz w:val="22"/>
        </w:rPr>
        <w:t>（</w:t>
      </w:r>
      <w:r w:rsidRPr="003D23AC">
        <w:rPr>
          <w:sz w:val="22"/>
        </w:rPr>
        <w:t>2）角色：扮演的角色有末、旦、净、丑等。元杂剧每本戏只有一个主角，男主</w:t>
      </w:r>
      <w:r w:rsidRPr="003D23AC">
        <w:rPr>
          <w:rFonts w:hint="eastAsia"/>
          <w:sz w:val="22"/>
        </w:rPr>
        <w:t>角称正末，女主角称正旦。此外，男配角有副末（次主角）、外末（老年男子）、小末（少年）等；女配角有副旦、外旦、小旦等。净：俗称“大花脸”，大都扮演性格、相貌上有特异之处的人物。如张飞、李逵。丑：俗称“小花脸”，大抵扮演男次要人物。此外，还有孛（</w:t>
      </w:r>
      <w:r w:rsidRPr="003D23AC">
        <w:rPr>
          <w:sz w:val="22"/>
        </w:rPr>
        <w:t>bó）老（老头儿）、卜儿（老妇人）、孤（官员）、徕儿（小厮</w:t>
      </w:r>
      <w:r w:rsidRPr="003D23AC">
        <w:rPr>
          <w:rFonts w:hint="eastAsia"/>
          <w:sz w:val="22"/>
        </w:rPr>
        <w:t>）。</w:t>
      </w:r>
    </w:p>
    <w:p w:rsidR="00C32E68" w:rsidRPr="003D23AC" w:rsidRDefault="00C32E68" w:rsidP="003D23AC">
      <w:pPr>
        <w:ind w:firstLineChars="100" w:firstLine="220"/>
        <w:rPr>
          <w:sz w:val="22"/>
        </w:rPr>
      </w:pPr>
      <w:r w:rsidRPr="003D23AC">
        <w:rPr>
          <w:rFonts w:hint="eastAsia"/>
          <w:sz w:val="22"/>
        </w:rPr>
        <w:t>（</w:t>
      </w:r>
      <w:r w:rsidRPr="003D23AC">
        <w:rPr>
          <w:sz w:val="22"/>
        </w:rPr>
        <w:t>3）剧本的构成：剧本由唱、科、白三部分构成。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唱词是按一定的宫调（乐调）、曲牌（曲谱）写成的韵文。元杂剧规定，每一折戏，唱同一宫调的一套曲子，其宫调和每套曲子的先后顺序都有惯例规定。科是戏剧动作的总称。包括舞台的程式、武打和舞蹈。白是“宾白”，是剧中人的说白部分。”宾白又分以下四种：对白：人物对话；独白：人物自叙；旁白：背过别的人物自叙心理话；带白：</w:t>
      </w:r>
      <w:r w:rsidRPr="003D23AC">
        <w:rPr>
          <w:rFonts w:hint="eastAsia"/>
          <w:sz w:val="22"/>
        </w:rPr>
        <w:lastRenderedPageBreak/>
        <w:t>唱词中的插话。宾白是元杂剧中重要的有机组成部分。所谓“曲白相生，方尽剧情之妙”，正说明这一点。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[指导阅读]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1．阅读“自读提示”中与本折有关的情节。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2．阅读课文。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3．提问式阐述：文学史上公认课文所选部分是全剧的高潮。但在前两折里，已经</w:t>
      </w:r>
      <w:r w:rsidRPr="003D23AC">
        <w:rPr>
          <w:rFonts w:hint="eastAsia"/>
          <w:sz w:val="22"/>
        </w:rPr>
        <w:t>把窦娥受害的故事情节交待得清楚明白。窦娥与张驴儿的冲突，窦娥在公堂上的斗争，都已在前两折里表现出来，那么高潮为什么出现在第三折里？通过阅读课文，我们发现；第三折里仅有窦娥指天发誓，刑场受戮，故事情节简单，而构成窦娥矛盾冲突的对立面，如社会恶势力的代表张驴儿、元代残酷统治的典型官府都隐藏在幕后，没有冲突，就没有戏剧，更没有高潮，可见，全剧高潮出在第三折里是与戏剧本身的特点分不开的。戏剧本身的特点是什么呢？那就是剧作家在剧本中，除了精心构思戏剧的矛盾冲突外，还要匠心独运地安排曲牌、唱词、说白，以便创造条件，让演员在舞台上尽情地演出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4．提问：在课文中共出现多少曲牌？都属什么宫调？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明确：共出现</w:t>
      </w:r>
      <w:r w:rsidRPr="003D23AC">
        <w:rPr>
          <w:sz w:val="22"/>
        </w:rPr>
        <w:t>10个曲牌，都属于正宫调。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5．提问：根据10个曲牌和故事情节，把课文分成若干层次。（按“思考和练习”</w:t>
      </w:r>
      <w:r w:rsidRPr="003D23AC">
        <w:rPr>
          <w:rFonts w:hint="eastAsia"/>
          <w:sz w:val="22"/>
        </w:rPr>
        <w:t>一的要求）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</w:t>
      </w:r>
      <w:r w:rsidRPr="003D23AC">
        <w:rPr>
          <w:sz w:val="22"/>
        </w:rPr>
        <w:t>10个曲牌有3个层次。使剧情有张有弛，有烘托、有渲染，扣人心弦，催人</w:t>
      </w:r>
      <w:r w:rsidRPr="003D23AC">
        <w:rPr>
          <w:rFonts w:hint="eastAsia"/>
          <w:sz w:val="22"/>
        </w:rPr>
        <w:t>泪下。第</w:t>
      </w:r>
      <w:r w:rsidRPr="003D23AC">
        <w:rPr>
          <w:sz w:val="22"/>
        </w:rPr>
        <w:t>1层是［端正好］［滚绣球］两个曲牌，大意是窦娥指斥天地鬼神。第2层是[倘</w:t>
      </w:r>
      <w:r w:rsidRPr="003D23AC">
        <w:rPr>
          <w:rFonts w:hint="eastAsia"/>
          <w:sz w:val="22"/>
        </w:rPr>
        <w:t>秀才</w:t>
      </w:r>
      <w:r w:rsidRPr="003D23AC">
        <w:rPr>
          <w:sz w:val="22"/>
        </w:rPr>
        <w:t>]至［鲍老儿］四个曲牌，大意是窦娥告别婆婆。第3层是[耍孩儿]至［煞尾</w:t>
      </w:r>
      <w:r w:rsidRPr="003D23AC">
        <w:rPr>
          <w:rFonts w:hint="eastAsia"/>
          <w:sz w:val="22"/>
        </w:rPr>
        <w:t>］四个曲牌。大意是窦娥发下三大誓愿。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6 分析第1层。齐读第1层两支曲子。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7．提问：窦娥为什么要指斥天地鬼神？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窦娥诉说自己莫名其妙犯法受刑，冤屈之大可“动地惊天”。又因为窦娥的冲突对象隐于幕后，而天地鬼神便成了她的指斥对象。由于内心的悲愤难以控制，便构成了对天地的怨恨与控诉。天地，在古代人的意识里，是被看作能够主宰世间万物包括人的命运的最神圣的东西。是不容侵犯的。但由于窦娥的冤情深重，而天地面对人间的邪恶残暴竟无动于衷，所以窦娥唱出：“……怎不将天地也生埋怨。”的唱词时，便自然得到了人们的共鸣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8</w:t>
      </w:r>
      <w:r w:rsidRPr="003D23AC">
        <w:rPr>
          <w:sz w:val="22"/>
        </w:rPr>
        <w:t>．背诵[滚绣球]一曲，然后作“思考和练习”五。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明确：作为封建社会中的一普通女子，窦娥对神明的天地本应深信不移，可是残酷的社会现实使她对天地鬼神由信赖而怀疑，由怀疑又转为愤怒的控诉：“天地也！做得个怕硬欺软，却原来也这般顺水推船！地也，你不分好歹何为地！天也，你错勘贤愚枉做天！”这样，窦娥通过自己叫天天不应，叫地地不灵，含冤难辩的悲惨经历，认识到了善良的人的贫穷命短，罪恶的人富贵延寿的社会现实，表现了她的觉醒意识和强烈的反抗精神。作为封建社会一个弱女子的窦娥，认识了封建社会的罪恶又能怎么样？她除了对天地日月鬼神进行愤怒的控诉以外，只能是“落得两泪涟涟”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9</w:t>
      </w:r>
      <w:r w:rsidRPr="003D23AC">
        <w:rPr>
          <w:sz w:val="22"/>
        </w:rPr>
        <w:t>．小结：这两个曲牌，十分准确而深刻地概括了阶级社会中，统治阶级草菅人命</w:t>
      </w:r>
      <w:r w:rsidRPr="003D23AC">
        <w:rPr>
          <w:rFonts w:hint="eastAsia"/>
          <w:sz w:val="22"/>
        </w:rPr>
        <w:t>、残酷压迫的反动本质。又由于这两个曲牌的唱腔高亢激越，音乐的艺术形式和思想内容和谐统一，自有一种强烈的感人力量。为此，这两个曲牌，就已把剧情推向了高潮。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[布置作业]：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1．默写［滚绣球］曲牌，整理“思考和练习”五。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2．结合“思考和练习”三，研究阅读第2、3两个层次。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3．熟悉剧本的三个组成部分。</w:t>
      </w:r>
    </w:p>
    <w:p w:rsidR="00C32E68" w:rsidRPr="003D23AC" w:rsidRDefault="00C32E68" w:rsidP="003D23AC">
      <w:pPr>
        <w:jc w:val="center"/>
        <w:rPr>
          <w:sz w:val="22"/>
        </w:rPr>
      </w:pPr>
      <w:r w:rsidRPr="003D23AC">
        <w:rPr>
          <w:rFonts w:hint="eastAsia"/>
          <w:sz w:val="22"/>
        </w:rPr>
        <w:lastRenderedPageBreak/>
        <w:t>第二教时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[教学要求]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1．阅读分析第2层内容，归纳窦娥的性格特点。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2．体会第3层中作者采用的浪漫主义表现手法及在当时的作用。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[教学内容和步骤]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[复习检查]：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1．学生背诵［滚绣球］。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2．复述剧本的三个组成部分。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[研究阅读]：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1．提问：从“左侧右偏”“前合后偃”两句可见窦娥在赴刑场途中所受的苦难，</w:t>
      </w:r>
      <w:r w:rsidRPr="003D23AC">
        <w:rPr>
          <w:rFonts w:hint="eastAsia"/>
          <w:sz w:val="22"/>
        </w:rPr>
        <w:t>可她为什么还要提出坚决走后街，舍近而求远呢？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明确：因为窦娥的婆婆住在前街，怕婆婆看见自己受刑而伤心。这充分显示了她淳朴善良的美好心灵，展示了她性格中温顺善良的一面。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2．然而，她的婆婆还是迎面赶来了，请看她与婆婆的一段对白，并试作分析。</w:t>
      </w:r>
      <w:r w:rsidRPr="003D23AC">
        <w:rPr>
          <w:rFonts w:hint="eastAsia"/>
          <w:sz w:val="22"/>
        </w:rPr>
        <w:t>（原文略）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3．提问：通过人物对白，试分析关汉卿的语言艺术和戏剧效果。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关汉卿驾驭语言的能力是惊人的，他可以根据生活本身所提供的语言来反映现实，充分为剧情和人物性格服务。窦娥对婆婆的一段说白，出自这个封建社会小媳妇的口里是那样的贴切，表现得是那么自然、生动。在戏剧冲突的程度上，由急转缓，由怯转伤，抒情气氛加浓，窦娥的性格更加完美。可见窦娥对婆婆的孝顺，但像这样一个完美的善良的妇女，竟然惨遭如此的冤屈，被诬陷为杀人凶手，足见当时的统治是何等的腐败，社会是何等的黑暗。这不仅使人物形象更加丰满，还为悲剧的产生蓄足了势，起到了深刻批判封建社会的作用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4．阅读［快活三］［鲍老儿］。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5．提问：这两支曲子是窦娥临刑前对蔡婆婆提出的希望和要求，在表现主题方面</w:t>
      </w:r>
      <w:r w:rsidRPr="003D23AC">
        <w:rPr>
          <w:rFonts w:hint="eastAsia"/>
          <w:sz w:val="22"/>
        </w:rPr>
        <w:t>起什么作用呢？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使人们对窦娥的悲惨遭遇更加同情。她劝婆婆不要过分悲伤，再一次表明了她善良、美好的心灵。这样的好人蒙冤而死，自然使人们对不公正的社会产生愤恨之情，戏剧的审美作用得到了充分体现。已阅读第</w:t>
      </w:r>
      <w:r w:rsidRPr="003D23AC">
        <w:rPr>
          <w:sz w:val="22"/>
        </w:rPr>
        <w:t>3层。分析窦娥临刑时发出的三桩誓愿，说明她所希望的是什么。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第一个誓愿是血溅白练：她希望刑场上的人们能立刻了解她的冤屈；第二个誓愿是六月飞雪：她希望自己的冤屈会在上天得到反应；第三个誓愿是亢旱三年；她不仅希望个人的冤屈得到申张，而且希望上天能够惩治邪恶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7．她的三桩誓愿与第1层对天地的指责是什么关系呢？是否矛盾呢？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窦娥对天地鬼神的严厉指斥和要感动天地，显然是矛盾的。可见，窦娥诉冤过程中对天的怀疑和依赖是始终交织在一起的。这正反映了作家的历史和阶级的局限，一方面，他通过窦娥指天斥地从根本上批判封建统治阶级，表达自己变革现实的愿望。另一方面，又不能从根本上提出救民于水火的办法，只能靠天地动容来昭雪窦娥的冤案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8．提问：窦娥的三桩誓愿明明是幻想，却偏偏写成现实，明明是不合理的偏偏写</w:t>
      </w:r>
      <w:r w:rsidRPr="003D23AC">
        <w:rPr>
          <w:rFonts w:hint="eastAsia"/>
          <w:sz w:val="22"/>
        </w:rPr>
        <w:t>成合理的，这说明了什么？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这说明在当时的历史条件下，除了乞求天地鬼神申诉冤屈以外，没有别的办法，作者采用这种浪漫主义的表现手法，一是表明社会的腐败黑暗，二是刻画窦娥强烈的反抗精神，三是表达人民要惩治邪恶的愿望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9．提问：“煞”就是结尾的曲牌，为什么关汉卿要把“煞”分成［二煞］［一煞</w:t>
      </w:r>
      <w:r w:rsidRPr="003D23AC">
        <w:rPr>
          <w:rFonts w:hint="eastAsia"/>
          <w:sz w:val="22"/>
        </w:rPr>
        <w:t>］</w:t>
      </w:r>
      <w:r w:rsidRPr="003D23AC">
        <w:rPr>
          <w:sz w:val="22"/>
        </w:rPr>
        <w:lastRenderedPageBreak/>
        <w:t>[煞尾]三个曲牌呢？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rFonts w:hint="eastAsia"/>
          <w:sz w:val="22"/>
        </w:rPr>
        <w:t>明确：说明蓄积在窦娥胸中的怒火再也无法控制，犹如地下岩浆，冲向决口。也说明剧作家意犹未尽，他要把窦娥的无辜受害，要把人们对窦娥的同情，要把人们对统治者的愤恨表现得痛痛快快，淋漓尽致。于是在结尾处一波三折，把高潮推向顶峰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10．归纳主题。（参看[自读提示]）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[补充材料]</w:t>
      </w:r>
    </w:p>
    <w:p w:rsidR="00C32E68" w:rsidRPr="003D23AC" w:rsidRDefault="00C32E68" w:rsidP="003D23AC">
      <w:pPr>
        <w:rPr>
          <w:sz w:val="22"/>
        </w:rPr>
      </w:pPr>
      <w:r w:rsidRPr="003D23AC">
        <w:rPr>
          <w:rFonts w:hint="eastAsia"/>
          <w:sz w:val="22"/>
        </w:rPr>
        <w:t>“苌弘化碧”“六月飞雪”“东海孝妇”典故的出处：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1．“苌弘化碧”出自《庄子·外物》：人主莫不欲其臣之忠，而忠未必信，故伍</w:t>
      </w:r>
      <w:r w:rsidRPr="003D23AC">
        <w:rPr>
          <w:rFonts w:hint="eastAsia"/>
          <w:sz w:val="22"/>
        </w:rPr>
        <w:t>员沉于江，苌弘死于蜀，藏其血三年，化而为碧。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2．“六月飞雪”出自《太平御览》：邹衍事燕惠王尽忠，左右谮之王，王系之狱</w:t>
      </w:r>
      <w:r w:rsidRPr="003D23AC">
        <w:rPr>
          <w:rFonts w:hint="eastAsia"/>
          <w:sz w:val="22"/>
        </w:rPr>
        <w:t>。仰天哭，夏五月为之下霜。</w:t>
      </w:r>
    </w:p>
    <w:p w:rsidR="00C32E68" w:rsidRPr="003D23AC" w:rsidRDefault="00C32E68" w:rsidP="003D23AC">
      <w:pPr>
        <w:ind w:firstLineChars="200" w:firstLine="440"/>
        <w:rPr>
          <w:sz w:val="22"/>
        </w:rPr>
      </w:pPr>
      <w:r w:rsidRPr="003D23AC">
        <w:rPr>
          <w:sz w:val="22"/>
        </w:rPr>
        <w:t>3．“东海孝妇”出自《汉书·于定国传》：东海有孝妇，少寡，亡子，养姑甚谨</w:t>
      </w:r>
      <w:r w:rsidRPr="003D23AC">
        <w:rPr>
          <w:rFonts w:hint="eastAsia"/>
          <w:sz w:val="22"/>
        </w:rPr>
        <w:t>。姑欲嫁之，终不肯。姑谓邻人曰：“孝妇事我勤苦，哀其亡子守寡。我老，久累丁壮，奈何？”其后，姑自经死。姑女告吏：“妇杀我母。”吏捕孝妇。孝妇辞不杀姑，吏验治，孝妇自诬服。具狱上府，于公以为此妇养姑十余年，以孝闻，必不杀也。太守不听，于公争之，弗能得。乃抱其具狱，哭于府上，因辞疾去。太守竟论杀孝妇。郡中枯旱三年。</w:t>
      </w:r>
      <w:r w:rsidRPr="003D23AC">
        <w:rPr>
          <w:sz w:val="22"/>
        </w:rPr>
        <w:t xml:space="preserve"> </w:t>
      </w:r>
    </w:p>
    <w:sectPr w:rsidR="00C32E68" w:rsidRPr="003D23AC" w:rsidSect="001B38FF">
      <w:footerReference w:type="even" r:id="rId7"/>
      <w:footerReference w:type="default" r:id="rId8"/>
      <w:pgSz w:w="11906" w:h="16838" w:code="9"/>
      <w:pgMar w:top="1440" w:right="1797" w:bottom="1440" w:left="1797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CC3" w:rsidRDefault="00305CC3">
      <w:r>
        <w:separator/>
      </w:r>
    </w:p>
  </w:endnote>
  <w:endnote w:type="continuationSeparator" w:id="0">
    <w:p w:rsidR="00305CC3" w:rsidRDefault="00305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68" w:rsidRDefault="001B38F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2E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2E68" w:rsidRDefault="00C32E6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68" w:rsidRDefault="00C32E68">
    <w:pPr>
      <w:pStyle w:val="a3"/>
      <w:ind w:right="2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CC3" w:rsidRDefault="00305CC3">
      <w:r>
        <w:separator/>
      </w:r>
    </w:p>
  </w:footnote>
  <w:footnote w:type="continuationSeparator" w:id="0">
    <w:p w:rsidR="00305CC3" w:rsidRDefault="00305C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0EE1"/>
    <w:multiLevelType w:val="hybridMultilevel"/>
    <w:tmpl w:val="B53A2410"/>
    <w:lvl w:ilvl="0" w:tplc="92401234">
      <w:start w:val="25"/>
      <w:numFmt w:val="decimal"/>
      <w:lvlText w:val="%1、"/>
      <w:lvlJc w:val="left"/>
      <w:pPr>
        <w:tabs>
          <w:tab w:val="num" w:pos="945"/>
        </w:tabs>
        <w:ind w:left="945" w:hanging="525"/>
      </w:pPr>
      <w:rPr>
        <w:rFonts w:asci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0D494D96"/>
    <w:multiLevelType w:val="hybridMultilevel"/>
    <w:tmpl w:val="1CBE2ED0"/>
    <w:lvl w:ilvl="0" w:tplc="97F6587C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B67CC2"/>
    <w:multiLevelType w:val="hybridMultilevel"/>
    <w:tmpl w:val="BC7438E4"/>
    <w:lvl w:ilvl="0" w:tplc="251E610E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F940E1"/>
    <w:multiLevelType w:val="hybridMultilevel"/>
    <w:tmpl w:val="A31E2A28"/>
    <w:lvl w:ilvl="0" w:tplc="6C44E6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55603EB"/>
    <w:multiLevelType w:val="hybridMultilevel"/>
    <w:tmpl w:val="AEF218B0"/>
    <w:lvl w:ilvl="0" w:tplc="026E86C4">
      <w:start w:val="1"/>
      <w:numFmt w:val="decimal"/>
      <w:lvlText w:val="%1、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5">
    <w:nsid w:val="5F045723"/>
    <w:multiLevelType w:val="hybridMultilevel"/>
    <w:tmpl w:val="B7A47D72"/>
    <w:lvl w:ilvl="0" w:tplc="76F4D7B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0B850D6"/>
    <w:multiLevelType w:val="hybridMultilevel"/>
    <w:tmpl w:val="25CA3334"/>
    <w:lvl w:ilvl="0" w:tplc="71AC4EF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62077516"/>
    <w:multiLevelType w:val="hybridMultilevel"/>
    <w:tmpl w:val="9648CE22"/>
    <w:lvl w:ilvl="0" w:tplc="AFEC7AD4">
      <w:start w:val="25"/>
      <w:numFmt w:val="decimal"/>
      <w:lvlText w:val="%1、"/>
      <w:lvlJc w:val="left"/>
      <w:pPr>
        <w:tabs>
          <w:tab w:val="num" w:pos="630"/>
        </w:tabs>
        <w:ind w:left="630" w:hanging="525"/>
      </w:pPr>
      <w:rPr>
        <w:rFonts w:hint="eastAsia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8">
    <w:nsid w:val="64A85E99"/>
    <w:multiLevelType w:val="hybridMultilevel"/>
    <w:tmpl w:val="1BCA905C"/>
    <w:lvl w:ilvl="0" w:tplc="17E04442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9">
    <w:nsid w:val="6D035E19"/>
    <w:multiLevelType w:val="hybridMultilevel"/>
    <w:tmpl w:val="E37A7232"/>
    <w:lvl w:ilvl="0" w:tplc="0FBE524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721903BE"/>
    <w:multiLevelType w:val="hybridMultilevel"/>
    <w:tmpl w:val="9A3C617A"/>
    <w:lvl w:ilvl="0" w:tplc="E37EEDA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2CE16ED"/>
    <w:multiLevelType w:val="hybridMultilevel"/>
    <w:tmpl w:val="96D61B66"/>
    <w:lvl w:ilvl="0" w:tplc="689E08B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0"/>
  </w:num>
  <w:num w:numId="16">
    <w:abstractNumId w:val="7"/>
  </w:num>
  <w:num w:numId="17">
    <w:abstractNumId w:val="1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23AC"/>
    <w:rsid w:val="001B38FF"/>
    <w:rsid w:val="00305CC3"/>
    <w:rsid w:val="003D23AC"/>
    <w:rsid w:val="00880345"/>
    <w:rsid w:val="008B3128"/>
    <w:rsid w:val="00C32E68"/>
    <w:rsid w:val="00FE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8FF"/>
    <w:pPr>
      <w:widowControl w:val="0"/>
      <w:jc w:val="both"/>
    </w:pPr>
    <w:rPr>
      <w:rFonts w:ascii="宋体" w:hAnsi="宋体"/>
      <w:kern w:val="2"/>
      <w:sz w:val="21"/>
      <w:szCs w:val="24"/>
    </w:rPr>
  </w:style>
  <w:style w:type="paragraph" w:styleId="1">
    <w:name w:val="heading 1"/>
    <w:basedOn w:val="a"/>
    <w:qFormat/>
    <w:rsid w:val="001B38FF"/>
    <w:pPr>
      <w:widowControl/>
      <w:spacing w:before="40" w:after="40"/>
      <w:jc w:val="left"/>
      <w:outlineLvl w:val="0"/>
    </w:pPr>
    <w:rPr>
      <w:rFonts w:ascii="Times New Roman" w:hAnsi="Times New Roman"/>
      <w:color w:val="000000"/>
      <w:kern w:val="3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B3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1B38FF"/>
  </w:style>
  <w:style w:type="paragraph" w:styleId="a5">
    <w:name w:val="header"/>
    <w:basedOn w:val="a"/>
    <w:rsid w:val="001B3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6">
    <w:name w:val="网校正文"/>
    <w:basedOn w:val="a"/>
    <w:autoRedefine/>
    <w:rsid w:val="001B38FF"/>
    <w:pPr>
      <w:adjustRightInd w:val="0"/>
      <w:spacing w:after="120"/>
    </w:pPr>
    <w:rPr>
      <w:sz w:val="24"/>
    </w:rPr>
  </w:style>
  <w:style w:type="paragraph" w:customStyle="1" w:styleId="a7">
    <w:name w:val="网校标题"/>
    <w:basedOn w:val="a"/>
    <w:rsid w:val="001B38FF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6"/>
    <w:rsid w:val="001B38FF"/>
    <w:pPr>
      <w:spacing w:after="156"/>
      <w:ind w:firstLine="2880"/>
      <w:jc w:val="left"/>
    </w:pPr>
    <w:rPr>
      <w:rFonts w:cs="宋体"/>
      <w:szCs w:val="20"/>
    </w:rPr>
  </w:style>
  <w:style w:type="paragraph" w:styleId="a8">
    <w:name w:val="Normal (Web)"/>
    <w:basedOn w:val="a"/>
    <w:rsid w:val="001B38FF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styleId="a9">
    <w:name w:val="Plain Text"/>
    <w:basedOn w:val="a"/>
    <w:rsid w:val="001B38FF"/>
    <w:rPr>
      <w:rFonts w:hAnsi="Courier New" w:cs="Courier New"/>
      <w:szCs w:val="21"/>
    </w:rPr>
  </w:style>
  <w:style w:type="paragraph" w:styleId="aa">
    <w:name w:val="Body Text Indent"/>
    <w:basedOn w:val="a"/>
    <w:rsid w:val="001B38FF"/>
    <w:pPr>
      <w:spacing w:line="260" w:lineRule="exact"/>
      <w:ind w:firstLine="437"/>
    </w:pPr>
  </w:style>
  <w:style w:type="paragraph" w:styleId="2">
    <w:name w:val="Body Text Indent 2"/>
    <w:basedOn w:val="a"/>
    <w:rsid w:val="001B38FF"/>
    <w:pPr>
      <w:spacing w:line="320" w:lineRule="exact"/>
      <w:ind w:firstLine="437"/>
    </w:pPr>
    <w:rPr>
      <w:rFonts w:ascii="楷体_GB2312" w:eastAsia="楷体_GB2312"/>
      <w:sz w:val="24"/>
    </w:rPr>
  </w:style>
  <w:style w:type="character" w:styleId="ab">
    <w:name w:val="Strong"/>
    <w:basedOn w:val="a0"/>
    <w:qFormat/>
    <w:rsid w:val="001B38FF"/>
    <w:rPr>
      <w:b/>
      <w:bCs/>
    </w:rPr>
  </w:style>
  <w:style w:type="paragraph" w:styleId="ac">
    <w:name w:val="Body Text"/>
    <w:basedOn w:val="a"/>
    <w:rsid w:val="001B38FF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1271;&#20140;&#22235;&#20013;\&#38506;&#35757;\&#27169;&#26495;\&#25991;&#26412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文本模板.dot</Template>
  <TotalTime>3</TotalTime>
  <Pages>4</Pages>
  <Words>625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2015-03-12T01:34:00Z</dcterms:created>
  <dcterms:modified xsi:type="dcterms:W3CDTF">2015-03-12T01:57:00Z</dcterms:modified>
</cp:coreProperties>
</file>